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823" w:rsidRDefault="005C7F22">
      <w:pPr>
        <w:pStyle w:val="ad"/>
        <w:widowControl w:val="0"/>
        <w:shd w:val="clear" w:color="auto" w:fill="FFFFFF"/>
        <w:adjustRightInd w:val="0"/>
        <w:snapToGrid w:val="0"/>
        <w:spacing w:before="0" w:beforeAutospacing="0" w:after="0" w:afterAutospacing="0" w:line="540" w:lineRule="exact"/>
        <w:jc w:val="both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2"/>
          <w:sz w:val="32"/>
          <w:szCs w:val="32"/>
        </w:rPr>
        <w:t>1</w:t>
      </w:r>
    </w:p>
    <w:p w:rsidR="00353823" w:rsidRDefault="00353823">
      <w:pPr>
        <w:pStyle w:val="ad"/>
        <w:widowControl w:val="0"/>
        <w:shd w:val="clear" w:color="auto" w:fill="FFFFFF"/>
        <w:adjustRightInd w:val="0"/>
        <w:snapToGrid w:val="0"/>
        <w:spacing w:before="0" w:beforeAutospacing="0" w:after="0" w:afterAutospacing="0" w:line="540" w:lineRule="exact"/>
        <w:jc w:val="both"/>
        <w:rPr>
          <w:rFonts w:ascii="黑体" w:eastAsia="黑体" w:hAnsi="黑体" w:cs="黑体"/>
          <w:kern w:val="2"/>
          <w:sz w:val="32"/>
          <w:szCs w:val="32"/>
        </w:rPr>
      </w:pPr>
    </w:p>
    <w:p w:rsidR="00353823" w:rsidRDefault="005C7F22">
      <w:pPr>
        <w:adjustRightInd/>
        <w:snapToGrid/>
        <w:spacing w:after="120"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国家中医药管理局中药炮制技术</w:t>
      </w:r>
    </w:p>
    <w:p w:rsidR="00353823" w:rsidRDefault="005C7F22">
      <w:pPr>
        <w:adjustRightInd/>
        <w:snapToGrid/>
        <w:spacing w:after="120"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传承基地建设管理办法</w:t>
      </w:r>
    </w:p>
    <w:p w:rsidR="00353823" w:rsidRDefault="00353823">
      <w:pPr>
        <w:adjustRightInd/>
        <w:snapToGrid/>
        <w:spacing w:line="520" w:lineRule="exact"/>
        <w:ind w:firstLine="0"/>
        <w:rPr>
          <w:rFonts w:eastAsia="宋体"/>
          <w:sz w:val="21"/>
        </w:rPr>
      </w:pPr>
    </w:p>
    <w:p w:rsidR="00353823" w:rsidRDefault="005C7F22">
      <w:pPr>
        <w:adjustRightInd/>
        <w:snapToGrid/>
        <w:spacing w:after="120"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第一章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总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则</w:t>
      </w:r>
    </w:p>
    <w:p w:rsidR="00353823" w:rsidRDefault="005C7F22">
      <w:pPr>
        <w:adjustRightInd/>
        <w:snapToGrid/>
        <w:spacing w:line="580" w:lineRule="exact"/>
        <w:ind w:firstLineChars="200" w:firstLine="643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第一条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为规范国家中医药管理局中药炮制技术传承基地（以下简称“基地”）建设，强化基地管理，制定本办法。</w:t>
      </w:r>
    </w:p>
    <w:p w:rsidR="00353823" w:rsidRDefault="005C7F22">
      <w:pPr>
        <w:adjustRightInd/>
        <w:snapToGrid/>
        <w:spacing w:line="560" w:lineRule="exact"/>
        <w:ind w:firstLineChars="200" w:firstLine="643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第二条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基地在国家中医药管理局和省级中医药主管部门的指导管理下，开展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中药炮制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技术的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传承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创新发展与转化应用等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工作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。</w:t>
      </w:r>
    </w:p>
    <w:p w:rsidR="00353823" w:rsidRDefault="005C7F22">
      <w:pPr>
        <w:adjustRightInd/>
        <w:snapToGrid/>
        <w:spacing w:line="580" w:lineRule="exact"/>
        <w:ind w:firstLineChars="200" w:firstLine="643"/>
        <w:jc w:val="left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第三条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建设目标是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传承创新发展中医药特色和优势，推进传统炮制技术的挖掘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保护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、传承创新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转化应用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、发展与安全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，推动炮制学科建设、</w:t>
      </w:r>
      <w:r>
        <w:rPr>
          <w:rFonts w:ascii="仿宋_GB2312" w:hAnsi="仿宋_GB2312" w:cs="仿宋_GB2312" w:hint="eastAsia"/>
          <w:spacing w:val="6"/>
          <w:kern w:val="0"/>
          <w:sz w:val="32"/>
          <w:szCs w:val="32"/>
          <w:shd w:val="clear" w:color="auto" w:fill="FFFFFF"/>
          <w:lang w:bidi="ar"/>
        </w:rPr>
        <w:t>人才培养与文化传承，促进中药饮片的生产实践与临床使用。</w:t>
      </w:r>
      <w:r>
        <w:rPr>
          <w:rFonts w:ascii="仿宋_GB2312" w:hAnsi="仿宋_GB2312" w:cs="仿宋_GB2312" w:hint="eastAsia"/>
          <w:spacing w:val="6"/>
          <w:kern w:val="0"/>
          <w:sz w:val="32"/>
          <w:szCs w:val="32"/>
          <w:shd w:val="clear" w:color="auto" w:fill="FFFFFF"/>
          <w:lang w:bidi="ar"/>
        </w:rPr>
        <w:t>鼓励运用现代前沿科学技术，激发原创优势，以科技创新赋能中药产业发展。</w:t>
      </w:r>
    </w:p>
    <w:p w:rsidR="00353823" w:rsidRDefault="005C7F22">
      <w:pPr>
        <w:adjustRightInd/>
        <w:snapToGrid/>
        <w:spacing w:line="580" w:lineRule="exact"/>
        <w:ind w:firstLineChars="200" w:firstLine="643"/>
        <w:jc w:val="left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第四条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主要任务：</w:t>
      </w:r>
    </w:p>
    <w:p w:rsidR="00353823" w:rsidRDefault="005C7F22">
      <w:pPr>
        <w:adjustRightInd/>
        <w:snapToGrid/>
        <w:spacing w:line="560" w:lineRule="exact"/>
        <w:ind w:firstLineChars="200" w:firstLine="640"/>
        <w:jc w:val="left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  <w:t>（一）传承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保护</w:t>
      </w:r>
      <w:r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  <w:t>具有地域特色的炮制方法及技艺，挖掘特色饮片品种。</w:t>
      </w:r>
    </w:p>
    <w:p w:rsidR="00353823" w:rsidRDefault="005C7F22">
      <w:pPr>
        <w:adjustRightInd/>
        <w:snapToGrid/>
        <w:spacing w:line="580" w:lineRule="exact"/>
        <w:ind w:firstLineChars="200" w:firstLine="640"/>
        <w:jc w:val="left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  <w:t>（二）注重对传统炮制技术的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科学研究</w:t>
      </w:r>
      <w:r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  <w:t>，以交叉学科探究炮制原理，发展炮制理论，促进传统中药炮制技术的创新。</w:t>
      </w:r>
    </w:p>
    <w:p w:rsidR="00353823" w:rsidRDefault="005C7F22">
      <w:pPr>
        <w:adjustRightInd/>
        <w:snapToGrid/>
        <w:spacing w:line="580" w:lineRule="exact"/>
        <w:ind w:firstLineChars="200" w:firstLine="640"/>
        <w:jc w:val="left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  <w:t>（三）解决中药饮片生产中的关键技术问题，制定高标准的质量控制体系，提升饮片质量，推动中药饮片的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现代工业化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lastRenderedPageBreak/>
        <w:t>生产</w:t>
      </w:r>
      <w:r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  <w:t>。</w:t>
      </w:r>
    </w:p>
    <w:p w:rsidR="00353823" w:rsidRDefault="005C7F22">
      <w:pPr>
        <w:adjustRightInd/>
        <w:snapToGrid/>
        <w:spacing w:line="620" w:lineRule="exact"/>
        <w:ind w:firstLineChars="200" w:firstLine="640"/>
        <w:jc w:val="left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  <w:t>（四）提高中医临方炮制水平，发展符合中医临床需求的特色饮片，保障并提升中医药服务能力。</w:t>
      </w:r>
    </w:p>
    <w:p w:rsidR="00353823" w:rsidRDefault="005C7F22">
      <w:pPr>
        <w:adjustRightInd/>
        <w:snapToGrid/>
        <w:spacing w:line="620" w:lineRule="exact"/>
        <w:ind w:firstLineChars="200" w:firstLine="640"/>
        <w:jc w:val="left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  <w:t>（五）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加强炮制学科建设，</w:t>
      </w:r>
      <w:r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  <w:t>建立完善的人才培养体系，培养具有创新能力和发展潜力的科研人员、药工传承人和药学服务人员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等人才</w:t>
      </w:r>
      <w:r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  <w:t>。</w:t>
      </w:r>
    </w:p>
    <w:p w:rsidR="00353823" w:rsidRDefault="005C7F22">
      <w:pPr>
        <w:adjustRightInd/>
        <w:snapToGrid/>
        <w:spacing w:line="620" w:lineRule="exact"/>
        <w:ind w:firstLineChars="200" w:firstLine="640"/>
        <w:jc w:val="left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  <w:t>（六）弘扬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中医药</w:t>
      </w:r>
      <w:r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  <w:t>文化，加大对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中医药</w:t>
      </w:r>
      <w:r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  <w:t>文化的推广和宣传力度，提高公众对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中医药</w:t>
      </w:r>
      <w:r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  <w:t>文化的认知程度，提升中医药文化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的传播力和</w:t>
      </w:r>
      <w:r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  <w:t>影响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力</w:t>
      </w:r>
      <w:r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  <w:t>。</w:t>
      </w:r>
    </w:p>
    <w:p w:rsidR="00353823" w:rsidRDefault="005C7F22">
      <w:pPr>
        <w:adjustRightInd/>
        <w:snapToGrid/>
        <w:spacing w:after="120" w:line="62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第二章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机构职责</w:t>
      </w:r>
    </w:p>
    <w:p w:rsidR="00353823" w:rsidRDefault="005C7F22">
      <w:pPr>
        <w:adjustRightInd/>
        <w:snapToGrid/>
        <w:spacing w:line="620" w:lineRule="exact"/>
        <w:ind w:firstLineChars="200" w:firstLine="643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第五条</w:t>
      </w:r>
      <w:r>
        <w:rPr>
          <w:rFonts w:ascii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国家中医药管理局的主要职责：</w:t>
      </w:r>
    </w:p>
    <w:p w:rsidR="00353823" w:rsidRDefault="005C7F22">
      <w:pPr>
        <w:adjustRightInd/>
        <w:snapToGrid/>
        <w:spacing w:line="62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（一）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规划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基地建设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方案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，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制定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建设标准，评估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核准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基地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的设立、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撤销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和重大事项调整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。</w:t>
      </w:r>
    </w:p>
    <w:p w:rsidR="00353823" w:rsidRDefault="005C7F22">
      <w:pPr>
        <w:adjustRightInd/>
        <w:snapToGrid/>
        <w:spacing w:line="62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（二）组织成立专家委员会，为基地建设和运行提供咨询、建议和指导。</w:t>
      </w:r>
    </w:p>
    <w:p w:rsidR="00353823" w:rsidRDefault="005C7F22">
      <w:pPr>
        <w:spacing w:after="120" w:line="62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（三）监督基地的日常管理，组织开展基地调研验收与评估工作。</w:t>
      </w:r>
    </w:p>
    <w:p w:rsidR="00353823" w:rsidRDefault="005C7F22">
      <w:pPr>
        <w:spacing w:after="120" w:line="62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（四）提供必要的经费支撑和发展条件。</w:t>
      </w:r>
    </w:p>
    <w:p w:rsidR="00353823" w:rsidRDefault="005C7F22">
      <w:pPr>
        <w:adjustRightInd/>
        <w:snapToGrid/>
        <w:spacing w:line="620" w:lineRule="exact"/>
        <w:ind w:firstLineChars="200" w:firstLine="643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第六条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hAnsi="仿宋_GB2312" w:cs="仿宋_GB2312" w:hint="eastAsia"/>
          <w:sz w:val="32"/>
          <w:szCs w:val="32"/>
        </w:rPr>
        <w:t>省级</w:t>
      </w:r>
      <w:r>
        <w:rPr>
          <w:rFonts w:ascii="仿宋_GB2312" w:hint="eastAsia"/>
          <w:sz w:val="32"/>
          <w:szCs w:val="32"/>
        </w:rPr>
        <w:t>中医药主管部门的主要职责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：</w:t>
      </w:r>
    </w:p>
    <w:p w:rsidR="00353823" w:rsidRDefault="005C7F22">
      <w:pPr>
        <w:adjustRightInd/>
        <w:snapToGrid/>
        <w:spacing w:line="62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（一）负责辖区内基地建设申报的受理，经审核遴选后向国家中医药管理局择优推荐。</w:t>
      </w:r>
    </w:p>
    <w:p w:rsidR="00353823" w:rsidRDefault="005C7F22">
      <w:pPr>
        <w:adjustRightInd/>
        <w:snapToGrid/>
        <w:spacing w:line="62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lastRenderedPageBreak/>
        <w:t>（二）成立专家组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，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为所在省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基地提供咨询、建议和指导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，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并报送国家中医药管理局备案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。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（三）协同配合国家中医药管理局做好辖区内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基地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的日常管理监督及调研、评估等工作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，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协调解决基地发展中的重大问题。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四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）争取地方财政支持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，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为基地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提供必要支撑和发展条件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。</w:t>
      </w:r>
    </w:p>
    <w:p w:rsidR="00353823" w:rsidRDefault="005C7F22">
      <w:pPr>
        <w:adjustRightInd/>
        <w:snapToGrid/>
        <w:spacing w:line="600" w:lineRule="exact"/>
        <w:ind w:firstLineChars="200" w:firstLine="643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第七条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建设单位的主要职责：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（一）负责制定本单位基地发展规划，确定重点任务和目标，建立基地发展保障机制，提供相关条件。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spacing w:val="6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（二）</w:t>
      </w:r>
      <w:r>
        <w:rPr>
          <w:rFonts w:ascii="仿宋_GB2312" w:hint="eastAsia"/>
          <w:sz w:val="32"/>
          <w:szCs w:val="32"/>
        </w:rPr>
        <w:t>负责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基地建设和</w:t>
      </w:r>
      <w:r>
        <w:rPr>
          <w:rFonts w:ascii="仿宋_GB2312" w:hint="eastAsia"/>
          <w:sz w:val="32"/>
          <w:szCs w:val="32"/>
        </w:rPr>
        <w:t>运行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，规范经费使用</w:t>
      </w:r>
      <w:r>
        <w:rPr>
          <w:rFonts w:ascii="仿宋_GB2312" w:hint="eastAsia"/>
          <w:sz w:val="32"/>
          <w:szCs w:val="32"/>
        </w:rPr>
        <w:t>，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配合完成验收与评估检查等工作，</w:t>
      </w:r>
      <w:r>
        <w:rPr>
          <w:rFonts w:ascii="仿宋_GB2312" w:hAnsi="仿宋_GB2312" w:cs="仿宋_GB2312" w:hint="eastAsia"/>
          <w:spacing w:val="6"/>
          <w:kern w:val="0"/>
          <w:sz w:val="32"/>
          <w:szCs w:val="32"/>
          <w:shd w:val="clear" w:color="auto" w:fill="FFFFFF"/>
        </w:rPr>
        <w:t>及时上报基地在建设和运行中出现的重大问题。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（三）聘用基地主任，组建基地学术委员会，经所在地省级中医药主管部门核准后，报送国家中医药管理局备案。</w:t>
      </w:r>
    </w:p>
    <w:p w:rsidR="00353823" w:rsidRDefault="005C7F22">
      <w:pPr>
        <w:adjustRightInd/>
        <w:snapToGrid/>
        <w:spacing w:after="120"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第三章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申报与立项</w:t>
      </w:r>
    </w:p>
    <w:p w:rsidR="00353823" w:rsidRDefault="005C7F22">
      <w:pPr>
        <w:adjustRightInd/>
        <w:snapToGrid/>
        <w:spacing w:line="600" w:lineRule="exact"/>
        <w:ind w:firstLineChars="200" w:firstLine="643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第八条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申报单位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应具备以下条件：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（一）在中国境内注册两年以上的独立法人企事业单位。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（二）具有相对稳定、结构合理的高水平建设团队，聚焦中药炮制技术挖掘研究、生产实践或临床使用，具备传承创新能力；年龄、职称和知识结构合理，人员相对稳定，传承谱系清晰。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（三）研究方向明确、相对稳定，传承创新与转化应用实力强，在本领域具有一定影响，并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具有相应建设条件。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highlight w:val="magenta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（四）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申报单位为高校或科研院所的，应加强炮制学科建设，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lastRenderedPageBreak/>
        <w:t>并侧重基础研究。通过交叉学科研究及现代科学技术手段，探究传统中药炮制技术的科学原理，发展炮制理论，提高中药饮片标准，推动中药炮制技术的创新和应用转化。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（五）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申报单位为医疗机构的，应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具备开展中药饮片临方炮制加工或生产能力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，有满足临床转化应用条件的省级以上重点专科（专病）门诊和病房。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（六）申报单位为企业的，应持有药品监督管理部门核发的《药品生产许可证》，生产范围以中药为主，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具有体现提质增效特点的特色工艺、饮片品种，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具备饮片中试和生产的规范化车间，并通过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GMP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符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合性检查。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（七）可采取独立申报或者联合申报的方式进行。鼓励高等院校、科研院所、医疗机构、企业进行联合申报。联合申报时应当确定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1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个单位作为申报单位，其余单位为参与单位，且参与单位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数量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原则上不超过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2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个。立项后，由申报单位负责牵头开展基地建设和运行管理。</w:t>
      </w:r>
    </w:p>
    <w:p w:rsidR="00353823" w:rsidRDefault="005C7F22">
      <w:pPr>
        <w:adjustRightInd/>
        <w:snapToGrid/>
        <w:spacing w:line="600" w:lineRule="exact"/>
        <w:ind w:firstLineChars="200" w:firstLine="643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第九条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基地的申报程序：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（一）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申报单位按要求向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省级中医药主管部门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提交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申请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。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（二）省级中医药主管部门审核遴选，出具审核意见，书面报送国家中医药管理局。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（三）国家中医药管理局进行评审，择优立项。</w:t>
      </w:r>
    </w:p>
    <w:p w:rsidR="00353823" w:rsidRDefault="005C7F22">
      <w:pPr>
        <w:adjustRightInd/>
        <w:snapToGrid/>
        <w:spacing w:line="600" w:lineRule="exact"/>
        <w:ind w:firstLineChars="200" w:firstLine="640"/>
        <w:jc w:val="center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>第</w:t>
      </w: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>四</w:t>
      </w: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>章</w:t>
      </w: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>建设与管理</w:t>
      </w:r>
    </w:p>
    <w:p w:rsidR="00353823" w:rsidRDefault="005C7F22">
      <w:pPr>
        <w:adjustRightInd/>
        <w:snapToGrid/>
        <w:spacing w:line="600" w:lineRule="exact"/>
        <w:ind w:firstLineChars="200" w:firstLine="643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第十条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基地立项后即进入建设期，原则上为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3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年。未能如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lastRenderedPageBreak/>
        <w:t>期完成建设的基地，应当在建设期满前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6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个月提出延长建设期的申请，延长期限最长为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1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年。</w:t>
      </w:r>
    </w:p>
    <w:p w:rsidR="00353823" w:rsidRDefault="005C7F22">
      <w:pPr>
        <w:adjustRightInd/>
        <w:snapToGrid/>
        <w:spacing w:line="600" w:lineRule="exact"/>
        <w:ind w:firstLineChars="200" w:firstLine="643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第十一条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基地实行年度报告制度，程序如下：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（一）基地应于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每年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2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月底前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向省级中医药主管部门递交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《国家中医药管理局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中药炮制技术传承基地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年度报告》（以下简称《年度报告》），说明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基地的年度建设情况。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（二）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《年度报告》由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省级中医药主管部门审核后，出具审核意见，报送国家中医药管理局。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（三）国家中医药管理局对各基地年度建设情况进行备案，并根据建设情况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不定期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组织调研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。</w:t>
      </w:r>
    </w:p>
    <w:p w:rsidR="00353823" w:rsidRDefault="005C7F22">
      <w:pPr>
        <w:adjustRightInd/>
        <w:snapToGrid/>
        <w:spacing w:line="600" w:lineRule="exact"/>
        <w:ind w:firstLineChars="200" w:firstLine="643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第十二条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基地应多渠道筹措经费，鼓励通过单位自筹、社会资金、地方财政等多种方式进行筹措，用于基地的建设和运行。</w:t>
      </w:r>
    </w:p>
    <w:p w:rsidR="00353823" w:rsidRDefault="005C7F22">
      <w:pPr>
        <w:adjustRightInd/>
        <w:snapToGrid/>
        <w:spacing w:line="600" w:lineRule="exact"/>
        <w:ind w:firstLineChars="200" w:firstLine="643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第十三条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中央财政资金的安排使用，要严格执行国家预算管理及财政国库管理的有关规定，实行专款专用，建立覆盖资金管理使用全过程的资金监督机制，提高资金使用效益。</w:t>
      </w:r>
    </w:p>
    <w:p w:rsidR="00353823" w:rsidRDefault="005C7F22">
      <w:pPr>
        <w:adjustRightInd/>
        <w:snapToGrid/>
        <w:spacing w:line="600" w:lineRule="exact"/>
        <w:ind w:firstLineChars="200" w:firstLine="640"/>
        <w:jc w:val="center"/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>第五章</w:t>
      </w: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>验收</w:t>
      </w: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>与评估</w:t>
      </w:r>
    </w:p>
    <w:p w:rsidR="00353823" w:rsidRDefault="005C7F22">
      <w:pPr>
        <w:adjustRightInd/>
        <w:snapToGrid/>
        <w:spacing w:line="600" w:lineRule="exact"/>
        <w:ind w:firstLineChars="200" w:firstLine="643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第十四条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hAnsi="仿宋_GB2312" w:cs="仿宋_GB2312" w:hint="eastAsia"/>
          <w:spacing w:val="6"/>
          <w:kern w:val="0"/>
          <w:sz w:val="32"/>
          <w:szCs w:val="32"/>
          <w:shd w:val="clear" w:color="auto" w:fill="FFFFFF"/>
        </w:rPr>
        <w:t>基地</w:t>
      </w:r>
      <w:r>
        <w:rPr>
          <w:rFonts w:ascii="仿宋_GB2312" w:hAnsi="仿宋_GB2312" w:cs="仿宋_GB2312" w:hint="eastAsia"/>
          <w:spacing w:val="6"/>
          <w:kern w:val="0"/>
          <w:sz w:val="32"/>
          <w:szCs w:val="32"/>
          <w:shd w:val="clear" w:color="auto" w:fill="FFFFFF"/>
        </w:rPr>
        <w:t>应在建设期满前</w:t>
      </w:r>
      <w:r>
        <w:rPr>
          <w:rFonts w:ascii="仿宋_GB2312" w:hAnsi="仿宋_GB2312" w:cs="仿宋_GB2312" w:hint="eastAsia"/>
          <w:spacing w:val="6"/>
          <w:kern w:val="0"/>
          <w:sz w:val="32"/>
          <w:szCs w:val="32"/>
          <w:shd w:val="clear" w:color="auto" w:fill="FFFFFF"/>
        </w:rPr>
        <w:t>3</w:t>
      </w:r>
      <w:r>
        <w:rPr>
          <w:rFonts w:ascii="仿宋_GB2312" w:hAnsi="仿宋_GB2312" w:cs="仿宋_GB2312" w:hint="eastAsia"/>
          <w:spacing w:val="6"/>
          <w:kern w:val="0"/>
          <w:sz w:val="32"/>
          <w:szCs w:val="32"/>
          <w:shd w:val="clear" w:color="auto" w:fill="FFFFFF"/>
        </w:rPr>
        <w:t>个月</w:t>
      </w:r>
      <w:r>
        <w:rPr>
          <w:rFonts w:ascii="仿宋_GB2312" w:hAnsi="仿宋_GB2312" w:cs="仿宋_GB2312" w:hint="eastAsia"/>
          <w:spacing w:val="6"/>
          <w:kern w:val="0"/>
          <w:sz w:val="32"/>
          <w:szCs w:val="32"/>
          <w:shd w:val="clear" w:color="auto" w:fill="FFFFFF"/>
        </w:rPr>
        <w:t>内</w:t>
      </w:r>
      <w:r>
        <w:rPr>
          <w:rFonts w:ascii="仿宋_GB2312" w:hAnsi="仿宋_GB2312" w:cs="仿宋_GB2312" w:hint="eastAsia"/>
          <w:spacing w:val="6"/>
          <w:kern w:val="0"/>
          <w:sz w:val="32"/>
          <w:szCs w:val="32"/>
          <w:shd w:val="clear" w:color="auto" w:fill="FFFFFF"/>
        </w:rPr>
        <w:t>申请验收</w:t>
      </w:r>
      <w:r>
        <w:rPr>
          <w:rFonts w:ascii="仿宋_GB2312" w:hAnsi="仿宋_GB2312" w:cs="仿宋_GB2312" w:hint="eastAsia"/>
          <w:spacing w:val="6"/>
          <w:kern w:val="0"/>
          <w:sz w:val="32"/>
          <w:szCs w:val="32"/>
          <w:shd w:val="clear" w:color="auto" w:fill="FFFFFF"/>
        </w:rPr>
        <w:t>，程序如下：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一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基地向省级中医药主管部门递交申请。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（二）省级中医药主管部门进行审核，出具审核意见，书面报送国家中医药管理局。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（三）国家中医药管理局依据《国家中医药管理局中药炮制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lastRenderedPageBreak/>
        <w:t>技术传承基地建设标准》进行验收。</w:t>
      </w:r>
    </w:p>
    <w:p w:rsidR="00353823" w:rsidRDefault="005C7F22">
      <w:pPr>
        <w:adjustRightInd/>
        <w:snapToGrid/>
        <w:spacing w:line="600" w:lineRule="exact"/>
        <w:ind w:firstLineChars="200" w:firstLine="643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第十五条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验收结果分为通过验收、建议整改、未通过验收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3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种情形：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（一）通过验收的基地由国家中医药管理局批准成立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并统一命名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。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（二）建议整改的基地应在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6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个月内完成整改并再次向国家中医药管理局提出验收申请。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（三）未通过验收及整改后验收不合格的基地，撤销其建设资格。</w:t>
      </w:r>
    </w:p>
    <w:p w:rsidR="00353823" w:rsidRDefault="005C7F22">
      <w:pPr>
        <w:adjustRightInd/>
        <w:snapToGrid/>
        <w:spacing w:line="600" w:lineRule="exact"/>
        <w:ind w:firstLineChars="200" w:firstLine="643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第</w:t>
      </w:r>
      <w:r>
        <w:rPr>
          <w:rFonts w:ascii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十六</w:t>
      </w:r>
      <w:r>
        <w:rPr>
          <w:rFonts w:ascii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条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国家中医药管理局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对通过验收的基地进行动态管理，根据年度报告有序开展评估工作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。</w:t>
      </w:r>
    </w:p>
    <w:p w:rsidR="00353823" w:rsidRDefault="005C7F22">
      <w:pPr>
        <w:adjustRightInd/>
        <w:snapToGrid/>
        <w:spacing w:line="600" w:lineRule="exact"/>
        <w:ind w:firstLineChars="200" w:firstLine="643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第十七条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评估结果分为优秀、合格和不合格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3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种情形：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（一）评估结果为优秀的基地，国家中医药管理局、各省级中医药主管部门将在各类科研计划项目立项、科研能力平台建设等方面予以重点考虑和支持。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（二）评估结果为不合格的基地，应在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6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个月内按要求完成整改并再次向国家中医药管理局提出评估申请。再评估不合格的，将撤销其基地资格。</w:t>
      </w:r>
    </w:p>
    <w:p w:rsidR="00353823" w:rsidRDefault="005C7F22">
      <w:pPr>
        <w:adjustRightInd/>
        <w:snapToGrid/>
        <w:spacing w:line="600" w:lineRule="exact"/>
        <w:ind w:firstLineChars="200" w:firstLine="643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第十八条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基地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因自身原因自愿退出的，应由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省级中医药主管部门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核实后报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国家中医药管理局确认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。</w:t>
      </w:r>
    </w:p>
    <w:p w:rsidR="00353823" w:rsidRDefault="005C7F22">
      <w:pPr>
        <w:adjustRightInd/>
        <w:snapToGrid/>
        <w:spacing w:line="600" w:lineRule="exact"/>
        <w:ind w:firstLineChars="200" w:firstLine="643"/>
        <w:rPr>
          <w:rFonts w:ascii="仿宋_GB2312" w:hAnsi="仿宋_GB2312" w:cs="仿宋_GB2312"/>
          <w:spacing w:val="6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第十九条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基地应加强知识产权的规范管理，在相关研究成果（包括专著、论文、软件、数据库等）单位署名中合理使用基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lastRenderedPageBreak/>
        <w:t>地名称，</w:t>
      </w:r>
      <w:r>
        <w:rPr>
          <w:rFonts w:ascii="仿宋_GB2312" w:hAnsi="仿宋_GB2312" w:cs="仿宋_GB2312" w:hint="eastAsia"/>
          <w:spacing w:val="6"/>
          <w:kern w:val="0"/>
          <w:sz w:val="32"/>
          <w:szCs w:val="32"/>
          <w:shd w:val="clear" w:color="auto" w:fill="FFFFFF"/>
        </w:rPr>
        <w:t>专利申请、技术成果转让和申报奖励按国家有关规定办理。</w:t>
      </w:r>
    </w:p>
    <w:p w:rsidR="00353823" w:rsidRDefault="005C7F22">
      <w:pPr>
        <w:adjustRightInd/>
        <w:snapToGrid/>
        <w:spacing w:line="600" w:lineRule="exact"/>
        <w:ind w:firstLineChars="200" w:firstLine="643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第二十条</w:t>
      </w:r>
      <w:r>
        <w:rPr>
          <w:rFonts w:ascii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鼓励基地建立共享开放机制，促进成果交流。</w:t>
      </w:r>
    </w:p>
    <w:p w:rsidR="00353823" w:rsidRDefault="005C7F22">
      <w:pPr>
        <w:adjustRightInd/>
        <w:snapToGrid/>
        <w:spacing w:line="600" w:lineRule="exact"/>
        <w:ind w:firstLineChars="200" w:firstLine="640"/>
        <w:jc w:val="center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>第六章</w:t>
      </w: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>附</w:t>
      </w: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>则</w:t>
      </w:r>
    </w:p>
    <w:p w:rsidR="00353823" w:rsidRDefault="005C7F22">
      <w:pPr>
        <w:adjustRightInd/>
        <w:snapToGrid/>
        <w:spacing w:line="600" w:lineRule="exact"/>
        <w:ind w:firstLineChars="200" w:firstLine="643"/>
        <w:rPr>
          <w:rFonts w:ascii="仿宋_GB2312" w:hAnsi="仿宋_GB2312" w:cs="仿宋_GB2312"/>
          <w:b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第二十一条</w:t>
      </w:r>
      <w:r>
        <w:rPr>
          <w:rFonts w:ascii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通过验收的基地统一命名为“国家中医药管理局中药炮制技术传承基地（建设单位）”，英文名称为“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Traditional Chinese Medicine Processing Techniques Heritage Base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（建设单位）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, 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National Administration of Traditional Chinese Medicine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”。</w:t>
      </w:r>
    </w:p>
    <w:p w:rsidR="00353823" w:rsidRDefault="005C7F22">
      <w:pPr>
        <w:adjustRightInd/>
        <w:snapToGrid/>
        <w:spacing w:line="600" w:lineRule="exact"/>
        <w:ind w:firstLineChars="200" w:firstLine="643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第二十二条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基地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为中央单位的，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管理工作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由上级单位或主管部门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负责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。</w:t>
      </w:r>
    </w:p>
    <w:p w:rsidR="00353823" w:rsidRDefault="005C7F22">
      <w:pPr>
        <w:adjustRightInd/>
        <w:snapToGrid/>
        <w:spacing w:line="600" w:lineRule="exact"/>
        <w:ind w:firstLineChars="200" w:firstLine="643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第二十三条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有下列行为之一者，国家中医药管理局可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视情节轻重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，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责令其限期整改或直接撤销其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基地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资格且在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3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年内不得再次申报：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（一）提供虚假信息或进行虚假宣传，造成重大不良影响的。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（二）采取不正当竞争手段，造成重大不良影响的。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（三）基地取得的成果被认定为构成学术不端行为的。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（四）发生重大安全生产责任事故的。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（五）无特殊原因停止建设或经营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1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年以上的。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（六）有重大违法、违规行为的。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（七）规划、经营方向、主营业务等发生重大变化，不再符合基地建设条件的。</w:t>
      </w:r>
    </w:p>
    <w:p w:rsidR="00353823" w:rsidRDefault="005C7F22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（八）其他应当取消资格的行为。</w:t>
      </w:r>
    </w:p>
    <w:p w:rsidR="00353823" w:rsidRDefault="005C7F22">
      <w:pPr>
        <w:adjustRightInd/>
        <w:snapToGrid/>
        <w:spacing w:line="600" w:lineRule="exact"/>
        <w:ind w:firstLineChars="200" w:firstLine="643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lastRenderedPageBreak/>
        <w:t>第二十四条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本办法由国家中医药管理局负责解释。</w:t>
      </w:r>
    </w:p>
    <w:p w:rsidR="00EE02AA" w:rsidRDefault="005C7F22" w:rsidP="00EE02AA">
      <w:pPr>
        <w:pStyle w:val="ad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仿宋_GB2312" w:hAnsi="仿宋"/>
          <w:color w:val="0D0D0D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第二十五条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本办法自公布之日起施行。</w:t>
      </w:r>
      <w:bookmarkStart w:id="0" w:name="_GoBack"/>
      <w:bookmarkEnd w:id="0"/>
    </w:p>
    <w:p w:rsidR="00353823" w:rsidRDefault="00353823">
      <w:pPr>
        <w:tabs>
          <w:tab w:val="left" w:pos="7513"/>
        </w:tabs>
        <w:wordWrap w:val="0"/>
        <w:spacing w:line="480" w:lineRule="exact"/>
        <w:ind w:rightChars="80" w:right="240" w:firstLine="0"/>
        <w:jc w:val="right"/>
        <w:rPr>
          <w:rFonts w:ascii="仿宋_GB2312" w:hAnsi="仿宋"/>
          <w:color w:val="0D0D0D"/>
          <w:sz w:val="28"/>
          <w:szCs w:val="28"/>
        </w:rPr>
      </w:pPr>
    </w:p>
    <w:sectPr w:rsidR="003538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531" w:bottom="1701" w:left="1531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F22" w:rsidRDefault="005C7F22">
      <w:pPr>
        <w:spacing w:line="240" w:lineRule="auto"/>
      </w:pPr>
      <w:r>
        <w:separator/>
      </w:r>
    </w:p>
  </w:endnote>
  <w:endnote w:type="continuationSeparator" w:id="0">
    <w:p w:rsidR="005C7F22" w:rsidRDefault="005C7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FDE0650B-2B07-4265-9B44-88A4A5ACCD0F}"/>
    <w:embedBold r:id="rId2" w:subsetted="1" w:fontKey="{DB1E3909-FA9C-4E3F-997A-7C244ACC94F9}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309C1C8-DCBD-46F3-8278-FDC62F22C0F5}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  <w:embedRegular r:id="rId4" w:subsetted="1" w:fontKey="{34E15240-4D68-497A-A644-A7EE6885F79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823" w:rsidRDefault="005C7F22">
    <w:pPr>
      <w:pStyle w:val="a9"/>
      <w:ind w:leftChars="100" w:left="300" w:rightChars="100" w:right="300" w:firstLine="0"/>
    </w:pPr>
    <w:r>
      <w:rPr>
        <w:rFonts w:asciiTheme="majorEastAsia" w:eastAsiaTheme="majorEastAsia" w:hAnsiTheme="majorEastAsia" w:hint="eastAsia"/>
        <w:sz w:val="28"/>
      </w:rPr>
      <w:t>—</w:t>
    </w:r>
    <w:r>
      <w:rPr>
        <w:rFonts w:asciiTheme="majorEastAsia" w:eastAsiaTheme="majorEastAsia" w:hAnsiTheme="majorEastAsia" w:hint="eastAsia"/>
        <w:sz w:val="28"/>
      </w:rPr>
      <w:t xml:space="preserve"> </w:t>
    </w:r>
    <w:sdt>
      <w:sdtPr>
        <w:rPr>
          <w:rFonts w:asciiTheme="majorEastAsia" w:eastAsiaTheme="majorEastAsia" w:hAnsiTheme="majorEastAsia"/>
          <w:sz w:val="28"/>
        </w:rPr>
        <w:id w:val="147471753"/>
      </w:sdtPr>
      <w:sdtEndPr/>
      <w:sdtContent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EE02AA" w:rsidRPr="00EE02AA">
          <w:rPr>
            <w:rFonts w:asciiTheme="majorEastAsia" w:eastAsiaTheme="majorEastAsia" w:hAnsiTheme="majorEastAsia"/>
            <w:noProof/>
            <w:sz w:val="28"/>
            <w:lang w:val="zh-CN"/>
          </w:rPr>
          <w:t>2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</w:rPr>
          <w:t xml:space="preserve"> </w:t>
        </w:r>
        <w:r>
          <w:rPr>
            <w:rFonts w:asciiTheme="majorEastAsia" w:eastAsiaTheme="majorEastAsia" w:hAnsiTheme="majorEastAsia" w:hint="eastAsia"/>
            <w:sz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823" w:rsidRDefault="005C7F22">
    <w:pPr>
      <w:pStyle w:val="a9"/>
      <w:ind w:leftChars="100" w:left="300" w:rightChars="100" w:right="300" w:firstLine="0"/>
      <w:jc w:val="right"/>
    </w:pPr>
    <w:r>
      <w:rPr>
        <w:rFonts w:asciiTheme="majorEastAsia" w:eastAsiaTheme="majorEastAsia" w:hAnsiTheme="majorEastAsia" w:hint="eastAsia"/>
        <w:sz w:val="28"/>
      </w:rPr>
      <w:t>—</w:t>
    </w:r>
    <w:r>
      <w:rPr>
        <w:rFonts w:asciiTheme="majorEastAsia" w:eastAsiaTheme="majorEastAsia" w:hAnsiTheme="majorEastAsia" w:hint="eastAsia"/>
        <w:sz w:val="28"/>
      </w:rPr>
      <w:t xml:space="preserve"> </w:t>
    </w:r>
    <w:sdt>
      <w:sdtPr>
        <w:rPr>
          <w:rFonts w:asciiTheme="majorEastAsia" w:eastAsiaTheme="majorEastAsia" w:hAnsiTheme="majorEastAsia"/>
          <w:sz w:val="28"/>
        </w:rPr>
        <w:id w:val="1924868"/>
      </w:sdtPr>
      <w:sdtEndPr/>
      <w:sdtContent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EE02AA" w:rsidRPr="00EE02AA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</w:rPr>
          <w:t xml:space="preserve"> </w:t>
        </w:r>
        <w:r>
          <w:rPr>
            <w:rFonts w:asciiTheme="majorEastAsia" w:eastAsiaTheme="majorEastAsia" w:hAnsiTheme="majorEastAsia" w:hint="eastAsia"/>
            <w:sz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823" w:rsidRDefault="00353823">
    <w:pPr>
      <w:pStyle w:val="a9"/>
      <w:ind w:leftChars="100" w:left="300" w:rightChars="100" w:right="30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F22" w:rsidRDefault="005C7F22">
      <w:r>
        <w:separator/>
      </w:r>
    </w:p>
  </w:footnote>
  <w:footnote w:type="continuationSeparator" w:id="0">
    <w:p w:rsidR="005C7F22" w:rsidRDefault="005C7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823" w:rsidRDefault="00353823">
    <w:pPr>
      <w:pStyle w:val="ab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823" w:rsidRDefault="00353823">
    <w:pPr>
      <w:pStyle w:val="ab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823" w:rsidRDefault="00353823">
    <w:pPr>
      <w:pStyle w:val="ab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420"/>
  <w:evenAndOddHeaders/>
  <w:drawingGridHorizontalSpacing w:val="150"/>
  <w:drawingGridVerticalSpacing w:val="204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ZjYwZDVmZDdmNTg1YjZhMjZiM2NhMjhhYjQyOTQifQ=="/>
  </w:docVars>
  <w:rsids>
    <w:rsidRoot w:val="00FF2A5C"/>
    <w:rsid w:val="97EF1ADD"/>
    <w:rsid w:val="9EBF152A"/>
    <w:rsid w:val="ADEFB933"/>
    <w:rsid w:val="AF9D6544"/>
    <w:rsid w:val="AFAEEB3C"/>
    <w:rsid w:val="B3EF8A0B"/>
    <w:rsid w:val="B4FE5D06"/>
    <w:rsid w:val="B6D996CC"/>
    <w:rsid w:val="B7FCBF5F"/>
    <w:rsid w:val="BE696CA1"/>
    <w:rsid w:val="BFBF1CB7"/>
    <w:rsid w:val="BFD196E5"/>
    <w:rsid w:val="BFD69210"/>
    <w:rsid w:val="C3F74BEA"/>
    <w:rsid w:val="CEF774A6"/>
    <w:rsid w:val="CFF248E1"/>
    <w:rsid w:val="D7771A5C"/>
    <w:rsid w:val="D7CD8568"/>
    <w:rsid w:val="D8F902C7"/>
    <w:rsid w:val="DF1772A1"/>
    <w:rsid w:val="DF3CEE06"/>
    <w:rsid w:val="DF7EC986"/>
    <w:rsid w:val="DFF8014A"/>
    <w:rsid w:val="DFFEBA76"/>
    <w:rsid w:val="DFFFB7C2"/>
    <w:rsid w:val="E3FCE6AE"/>
    <w:rsid w:val="EF269E63"/>
    <w:rsid w:val="F3F72180"/>
    <w:rsid w:val="F3FFD0C6"/>
    <w:rsid w:val="F5AFB569"/>
    <w:rsid w:val="F5EF3A2E"/>
    <w:rsid w:val="F73FBB70"/>
    <w:rsid w:val="F79D8E58"/>
    <w:rsid w:val="F79E1A0A"/>
    <w:rsid w:val="F7FE3844"/>
    <w:rsid w:val="F96ED66E"/>
    <w:rsid w:val="FB7C069A"/>
    <w:rsid w:val="FDB725FC"/>
    <w:rsid w:val="FDDC0B29"/>
    <w:rsid w:val="FDEF5EEA"/>
    <w:rsid w:val="FE7FDD3B"/>
    <w:rsid w:val="FEAEABAF"/>
    <w:rsid w:val="FF66CF57"/>
    <w:rsid w:val="FF73D678"/>
    <w:rsid w:val="FF9E59FA"/>
    <w:rsid w:val="FFAEE6B7"/>
    <w:rsid w:val="FFE10AAA"/>
    <w:rsid w:val="FFEEFBFF"/>
    <w:rsid w:val="000449F6"/>
    <w:rsid w:val="00050FF8"/>
    <w:rsid w:val="00063E75"/>
    <w:rsid w:val="00066CF3"/>
    <w:rsid w:val="00072ECE"/>
    <w:rsid w:val="00097920"/>
    <w:rsid w:val="000A725D"/>
    <w:rsid w:val="000B04C5"/>
    <w:rsid w:val="000B4CE2"/>
    <w:rsid w:val="000B643C"/>
    <w:rsid w:val="000C5E90"/>
    <w:rsid w:val="000F14EF"/>
    <w:rsid w:val="000F707D"/>
    <w:rsid w:val="000F7A37"/>
    <w:rsid w:val="0010761A"/>
    <w:rsid w:val="0012492B"/>
    <w:rsid w:val="0016593D"/>
    <w:rsid w:val="00183CAD"/>
    <w:rsid w:val="00195F2B"/>
    <w:rsid w:val="001A7782"/>
    <w:rsid w:val="001D524C"/>
    <w:rsid w:val="00220CA2"/>
    <w:rsid w:val="00225138"/>
    <w:rsid w:val="0023003A"/>
    <w:rsid w:val="00254CB8"/>
    <w:rsid w:val="0025561A"/>
    <w:rsid w:val="00265A19"/>
    <w:rsid w:val="00265A52"/>
    <w:rsid w:val="002744F2"/>
    <w:rsid w:val="00282436"/>
    <w:rsid w:val="002848BA"/>
    <w:rsid w:val="002A4270"/>
    <w:rsid w:val="002C2DDB"/>
    <w:rsid w:val="002C5CC9"/>
    <w:rsid w:val="002C672B"/>
    <w:rsid w:val="002C720F"/>
    <w:rsid w:val="002F0047"/>
    <w:rsid w:val="002F037A"/>
    <w:rsid w:val="002F21BD"/>
    <w:rsid w:val="002F685D"/>
    <w:rsid w:val="003043C5"/>
    <w:rsid w:val="00315222"/>
    <w:rsid w:val="00320646"/>
    <w:rsid w:val="00320B77"/>
    <w:rsid w:val="00326500"/>
    <w:rsid w:val="0033120F"/>
    <w:rsid w:val="00340885"/>
    <w:rsid w:val="0034689C"/>
    <w:rsid w:val="00351550"/>
    <w:rsid w:val="00353823"/>
    <w:rsid w:val="00363AAB"/>
    <w:rsid w:val="00372595"/>
    <w:rsid w:val="003854C5"/>
    <w:rsid w:val="0039181D"/>
    <w:rsid w:val="003A425E"/>
    <w:rsid w:val="003A5B28"/>
    <w:rsid w:val="003C5AD8"/>
    <w:rsid w:val="003C6748"/>
    <w:rsid w:val="003D0EAF"/>
    <w:rsid w:val="003D1B47"/>
    <w:rsid w:val="003D4B9B"/>
    <w:rsid w:val="003E30E3"/>
    <w:rsid w:val="003E5286"/>
    <w:rsid w:val="003F0AD6"/>
    <w:rsid w:val="003F0B6B"/>
    <w:rsid w:val="003F53F9"/>
    <w:rsid w:val="00401E8C"/>
    <w:rsid w:val="004059A6"/>
    <w:rsid w:val="00410FC5"/>
    <w:rsid w:val="00412B19"/>
    <w:rsid w:val="00442C1F"/>
    <w:rsid w:val="00444EAE"/>
    <w:rsid w:val="004663B4"/>
    <w:rsid w:val="00471F6A"/>
    <w:rsid w:val="00473265"/>
    <w:rsid w:val="00480BA5"/>
    <w:rsid w:val="00493802"/>
    <w:rsid w:val="004968EC"/>
    <w:rsid w:val="0049731C"/>
    <w:rsid w:val="004A712B"/>
    <w:rsid w:val="004B7BD1"/>
    <w:rsid w:val="004E78DB"/>
    <w:rsid w:val="004F2249"/>
    <w:rsid w:val="004F28EE"/>
    <w:rsid w:val="004F466F"/>
    <w:rsid w:val="0050019D"/>
    <w:rsid w:val="00503C46"/>
    <w:rsid w:val="005079D0"/>
    <w:rsid w:val="0052164C"/>
    <w:rsid w:val="00524AFD"/>
    <w:rsid w:val="00525006"/>
    <w:rsid w:val="00534453"/>
    <w:rsid w:val="005361A1"/>
    <w:rsid w:val="00537545"/>
    <w:rsid w:val="00552921"/>
    <w:rsid w:val="005562D7"/>
    <w:rsid w:val="00560C41"/>
    <w:rsid w:val="005648B0"/>
    <w:rsid w:val="00592755"/>
    <w:rsid w:val="00594759"/>
    <w:rsid w:val="005A6771"/>
    <w:rsid w:val="005C4FB7"/>
    <w:rsid w:val="005C7F22"/>
    <w:rsid w:val="005D1253"/>
    <w:rsid w:val="0061030D"/>
    <w:rsid w:val="006106EA"/>
    <w:rsid w:val="00621F89"/>
    <w:rsid w:val="0062343F"/>
    <w:rsid w:val="00630DD1"/>
    <w:rsid w:val="00635479"/>
    <w:rsid w:val="00646198"/>
    <w:rsid w:val="00646237"/>
    <w:rsid w:val="00674367"/>
    <w:rsid w:val="0068515A"/>
    <w:rsid w:val="006854AA"/>
    <w:rsid w:val="00687B38"/>
    <w:rsid w:val="006A1F65"/>
    <w:rsid w:val="006B2667"/>
    <w:rsid w:val="006C06E4"/>
    <w:rsid w:val="006D1738"/>
    <w:rsid w:val="006E2DED"/>
    <w:rsid w:val="006E782E"/>
    <w:rsid w:val="006F2B16"/>
    <w:rsid w:val="006F3F76"/>
    <w:rsid w:val="006F64D7"/>
    <w:rsid w:val="006F666E"/>
    <w:rsid w:val="00706403"/>
    <w:rsid w:val="0071160C"/>
    <w:rsid w:val="00714AE7"/>
    <w:rsid w:val="00714DE1"/>
    <w:rsid w:val="00721B25"/>
    <w:rsid w:val="00740D6A"/>
    <w:rsid w:val="00743802"/>
    <w:rsid w:val="00760A2F"/>
    <w:rsid w:val="00763432"/>
    <w:rsid w:val="007A04BC"/>
    <w:rsid w:val="007B16CC"/>
    <w:rsid w:val="007B1BA1"/>
    <w:rsid w:val="007B7060"/>
    <w:rsid w:val="007C06BD"/>
    <w:rsid w:val="007C240C"/>
    <w:rsid w:val="007D1091"/>
    <w:rsid w:val="007D6AEB"/>
    <w:rsid w:val="007D73FD"/>
    <w:rsid w:val="007E093F"/>
    <w:rsid w:val="007E66CE"/>
    <w:rsid w:val="007F0572"/>
    <w:rsid w:val="00800B31"/>
    <w:rsid w:val="00801A2C"/>
    <w:rsid w:val="00803FC5"/>
    <w:rsid w:val="00812319"/>
    <w:rsid w:val="008151CF"/>
    <w:rsid w:val="008157FC"/>
    <w:rsid w:val="008237CF"/>
    <w:rsid w:val="00836C92"/>
    <w:rsid w:val="00841468"/>
    <w:rsid w:val="008541C3"/>
    <w:rsid w:val="00860272"/>
    <w:rsid w:val="00891162"/>
    <w:rsid w:val="008C29FC"/>
    <w:rsid w:val="008C2B90"/>
    <w:rsid w:val="008D1BC3"/>
    <w:rsid w:val="008D6193"/>
    <w:rsid w:val="008E5B45"/>
    <w:rsid w:val="008F52C1"/>
    <w:rsid w:val="008F5F70"/>
    <w:rsid w:val="00904ADA"/>
    <w:rsid w:val="00905C4F"/>
    <w:rsid w:val="0090640F"/>
    <w:rsid w:val="0091799D"/>
    <w:rsid w:val="00933E1B"/>
    <w:rsid w:val="00934404"/>
    <w:rsid w:val="0094082D"/>
    <w:rsid w:val="009439A2"/>
    <w:rsid w:val="00953544"/>
    <w:rsid w:val="00960206"/>
    <w:rsid w:val="00967082"/>
    <w:rsid w:val="00972AC1"/>
    <w:rsid w:val="00991DF6"/>
    <w:rsid w:val="009A2DE9"/>
    <w:rsid w:val="009B0AF1"/>
    <w:rsid w:val="009D29BE"/>
    <w:rsid w:val="009E040F"/>
    <w:rsid w:val="009F1A1A"/>
    <w:rsid w:val="009F3EFD"/>
    <w:rsid w:val="009F4AF8"/>
    <w:rsid w:val="00A01422"/>
    <w:rsid w:val="00A03F02"/>
    <w:rsid w:val="00A0428A"/>
    <w:rsid w:val="00A15D45"/>
    <w:rsid w:val="00A37D7B"/>
    <w:rsid w:val="00A410B6"/>
    <w:rsid w:val="00A527CF"/>
    <w:rsid w:val="00A56280"/>
    <w:rsid w:val="00A56769"/>
    <w:rsid w:val="00A5699B"/>
    <w:rsid w:val="00A574E4"/>
    <w:rsid w:val="00A63D9A"/>
    <w:rsid w:val="00A87DCA"/>
    <w:rsid w:val="00A9774B"/>
    <w:rsid w:val="00A97A87"/>
    <w:rsid w:val="00AB1C05"/>
    <w:rsid w:val="00AB6055"/>
    <w:rsid w:val="00AC5035"/>
    <w:rsid w:val="00AC7981"/>
    <w:rsid w:val="00AD357A"/>
    <w:rsid w:val="00AE0605"/>
    <w:rsid w:val="00B2209F"/>
    <w:rsid w:val="00B349FF"/>
    <w:rsid w:val="00B36522"/>
    <w:rsid w:val="00B413E5"/>
    <w:rsid w:val="00B602DB"/>
    <w:rsid w:val="00B66C50"/>
    <w:rsid w:val="00B67CED"/>
    <w:rsid w:val="00B761C4"/>
    <w:rsid w:val="00B81853"/>
    <w:rsid w:val="00BA3706"/>
    <w:rsid w:val="00BA53A6"/>
    <w:rsid w:val="00BD1064"/>
    <w:rsid w:val="00BD37EE"/>
    <w:rsid w:val="00BE4817"/>
    <w:rsid w:val="00BF302E"/>
    <w:rsid w:val="00BF38DA"/>
    <w:rsid w:val="00C0329F"/>
    <w:rsid w:val="00C04A4C"/>
    <w:rsid w:val="00C0689E"/>
    <w:rsid w:val="00C22988"/>
    <w:rsid w:val="00C32D74"/>
    <w:rsid w:val="00C3535C"/>
    <w:rsid w:val="00C36257"/>
    <w:rsid w:val="00C441C4"/>
    <w:rsid w:val="00C5052B"/>
    <w:rsid w:val="00C5189C"/>
    <w:rsid w:val="00C63E78"/>
    <w:rsid w:val="00C63FFF"/>
    <w:rsid w:val="00C7370A"/>
    <w:rsid w:val="00C86E7E"/>
    <w:rsid w:val="00C9344D"/>
    <w:rsid w:val="00CA1FB1"/>
    <w:rsid w:val="00CA3ACB"/>
    <w:rsid w:val="00CA61D5"/>
    <w:rsid w:val="00CB19CA"/>
    <w:rsid w:val="00CD18DD"/>
    <w:rsid w:val="00CF6BA0"/>
    <w:rsid w:val="00D1335F"/>
    <w:rsid w:val="00D36CD6"/>
    <w:rsid w:val="00D37101"/>
    <w:rsid w:val="00D4601E"/>
    <w:rsid w:val="00D504BA"/>
    <w:rsid w:val="00D509EB"/>
    <w:rsid w:val="00D53C79"/>
    <w:rsid w:val="00D91338"/>
    <w:rsid w:val="00DA24DF"/>
    <w:rsid w:val="00DA289B"/>
    <w:rsid w:val="00DB2AE2"/>
    <w:rsid w:val="00DB5F41"/>
    <w:rsid w:val="00DC2F55"/>
    <w:rsid w:val="00DE25FB"/>
    <w:rsid w:val="00DE6F44"/>
    <w:rsid w:val="00DF2012"/>
    <w:rsid w:val="00DF21C6"/>
    <w:rsid w:val="00E06B6E"/>
    <w:rsid w:val="00E12B75"/>
    <w:rsid w:val="00E204DE"/>
    <w:rsid w:val="00E41AAB"/>
    <w:rsid w:val="00E757E3"/>
    <w:rsid w:val="00E833CD"/>
    <w:rsid w:val="00E87967"/>
    <w:rsid w:val="00E917FB"/>
    <w:rsid w:val="00E94074"/>
    <w:rsid w:val="00E96DC1"/>
    <w:rsid w:val="00EA4C43"/>
    <w:rsid w:val="00EC09FE"/>
    <w:rsid w:val="00EC47D8"/>
    <w:rsid w:val="00EC6F41"/>
    <w:rsid w:val="00EE02AA"/>
    <w:rsid w:val="00EE1204"/>
    <w:rsid w:val="00EE2719"/>
    <w:rsid w:val="00F025DF"/>
    <w:rsid w:val="00F20D3F"/>
    <w:rsid w:val="00F25396"/>
    <w:rsid w:val="00F3316C"/>
    <w:rsid w:val="00F55379"/>
    <w:rsid w:val="00F5672B"/>
    <w:rsid w:val="00F60F54"/>
    <w:rsid w:val="00F73012"/>
    <w:rsid w:val="00F74684"/>
    <w:rsid w:val="00F838D2"/>
    <w:rsid w:val="00F94B85"/>
    <w:rsid w:val="00F95195"/>
    <w:rsid w:val="00F95C9A"/>
    <w:rsid w:val="00FF0865"/>
    <w:rsid w:val="00FF2A5C"/>
    <w:rsid w:val="0DFE7AA8"/>
    <w:rsid w:val="11E9219A"/>
    <w:rsid w:val="192EF342"/>
    <w:rsid w:val="1B7B92A7"/>
    <w:rsid w:val="1BFE32CE"/>
    <w:rsid w:val="1DBF2C09"/>
    <w:rsid w:val="2FDCC638"/>
    <w:rsid w:val="37B3EB29"/>
    <w:rsid w:val="39FE0C7C"/>
    <w:rsid w:val="3B7B15E1"/>
    <w:rsid w:val="3BAF2555"/>
    <w:rsid w:val="3CC5D700"/>
    <w:rsid w:val="3D644BD2"/>
    <w:rsid w:val="3D8F5750"/>
    <w:rsid w:val="3E3FC31D"/>
    <w:rsid w:val="3F9034D2"/>
    <w:rsid w:val="3FB2FA02"/>
    <w:rsid w:val="3FBF0A21"/>
    <w:rsid w:val="3FE57744"/>
    <w:rsid w:val="3FFF8927"/>
    <w:rsid w:val="4D7C4D74"/>
    <w:rsid w:val="4EBBFDBC"/>
    <w:rsid w:val="4FBE5CD0"/>
    <w:rsid w:val="57F7878E"/>
    <w:rsid w:val="5ACF2444"/>
    <w:rsid w:val="5AFFE1E4"/>
    <w:rsid w:val="5BFD2BB9"/>
    <w:rsid w:val="5DED33DE"/>
    <w:rsid w:val="5E9FFDB8"/>
    <w:rsid w:val="5EFBD56D"/>
    <w:rsid w:val="5FA686F5"/>
    <w:rsid w:val="5FEB4B18"/>
    <w:rsid w:val="6A5E527E"/>
    <w:rsid w:val="6ADFD116"/>
    <w:rsid w:val="6B7E7DBB"/>
    <w:rsid w:val="6B7EED83"/>
    <w:rsid w:val="6BFF9949"/>
    <w:rsid w:val="6F93C800"/>
    <w:rsid w:val="6FB62605"/>
    <w:rsid w:val="6FCB55A9"/>
    <w:rsid w:val="6FFD2A06"/>
    <w:rsid w:val="70FF5F44"/>
    <w:rsid w:val="767FC184"/>
    <w:rsid w:val="76FC3FF8"/>
    <w:rsid w:val="77BF475A"/>
    <w:rsid w:val="77F7A033"/>
    <w:rsid w:val="77FF0C3A"/>
    <w:rsid w:val="79CEB2E8"/>
    <w:rsid w:val="79ECDFB8"/>
    <w:rsid w:val="7B79BB3F"/>
    <w:rsid w:val="7BAFD17B"/>
    <w:rsid w:val="7BB67254"/>
    <w:rsid w:val="7CFF17C0"/>
    <w:rsid w:val="7DB5FFB1"/>
    <w:rsid w:val="7DDD7A53"/>
    <w:rsid w:val="7DFBCC6A"/>
    <w:rsid w:val="7DFD8D33"/>
    <w:rsid w:val="7E4E937A"/>
    <w:rsid w:val="7E77C3B1"/>
    <w:rsid w:val="7F5F8918"/>
    <w:rsid w:val="7FAFF3AB"/>
    <w:rsid w:val="7FEDEFBC"/>
    <w:rsid w:val="7FEF6662"/>
    <w:rsid w:val="7FF7A74B"/>
    <w:rsid w:val="7FFCF443"/>
    <w:rsid w:val="7FFE11FA"/>
    <w:rsid w:val="7FFFC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9C2A5"/>
  <w15:docId w15:val="{B2E32A67-57CB-4007-B0F6-D05FC55F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adjustRightInd w:val="0"/>
      <w:snapToGrid w:val="0"/>
      <w:spacing w:line="300" w:lineRule="auto"/>
      <w:ind w:firstLine="618"/>
      <w:jc w:val="both"/>
    </w:pPr>
    <w:rPr>
      <w:rFonts w:eastAsia="仿宋_GB2312"/>
      <w:kern w:val="2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ody Text Indent"/>
    <w:basedOn w:val="a"/>
    <w:qFormat/>
    <w:pPr>
      <w:ind w:firstLine="600"/>
    </w:pPr>
    <w:rPr>
      <w:rFonts w:ascii="仿宋_GB2312"/>
      <w:sz w:val="24"/>
    </w:rPr>
  </w:style>
  <w:style w:type="paragraph" w:styleId="2">
    <w:name w:val="Body Text Indent 2"/>
    <w:basedOn w:val="a"/>
    <w:link w:val="20"/>
    <w:qFormat/>
    <w:pPr>
      <w:spacing w:line="500" w:lineRule="exact"/>
      <w:ind w:left="295" w:firstLine="595"/>
    </w:pPr>
    <w:rPr>
      <w:rFonts w:ascii="仿宋_GB2312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widowControl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4"/>
    <w:next w:val="a4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2"/>
    <w:uiPriority w:val="59"/>
    <w:qFormat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customStyle="1" w:styleId="51">
    <w:name w:val="索引 51"/>
    <w:basedOn w:val="a"/>
    <w:next w:val="a"/>
    <w:qFormat/>
    <w:pPr>
      <w:ind w:left="1680"/>
    </w:pPr>
  </w:style>
  <w:style w:type="character" w:customStyle="1" w:styleId="a8">
    <w:name w:val="批注框文本 字符"/>
    <w:basedOn w:val="a1"/>
    <w:link w:val="a7"/>
    <w:uiPriority w:val="99"/>
    <w:semiHidden/>
    <w:qFormat/>
    <w:rPr>
      <w:rFonts w:ascii="Times New Roman"/>
      <w:sz w:val="18"/>
      <w:szCs w:val="18"/>
    </w:rPr>
  </w:style>
  <w:style w:type="character" w:customStyle="1" w:styleId="ac">
    <w:name w:val="页眉 字符"/>
    <w:basedOn w:val="a1"/>
    <w:link w:val="ab"/>
    <w:uiPriority w:val="99"/>
    <w:qFormat/>
    <w:rPr>
      <w:rFonts w:ascii="Times New Roman"/>
      <w:sz w:val="18"/>
      <w:szCs w:val="18"/>
    </w:rPr>
  </w:style>
  <w:style w:type="character" w:customStyle="1" w:styleId="aa">
    <w:name w:val="页脚 字符"/>
    <w:basedOn w:val="a1"/>
    <w:link w:val="a9"/>
    <w:uiPriority w:val="99"/>
    <w:qFormat/>
    <w:rPr>
      <w:rFonts w:ascii="Times New Roman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af3">
    <w:name w:val="公文正文"/>
    <w:basedOn w:val="a"/>
    <w:link w:val="Char"/>
    <w:qFormat/>
    <w:pPr>
      <w:adjustRightInd/>
      <w:snapToGrid/>
      <w:spacing w:line="600" w:lineRule="exact"/>
      <w:ind w:firstLineChars="200" w:firstLine="640"/>
    </w:pPr>
    <w:rPr>
      <w:rFonts w:ascii="仿宋" w:hAnsi="仿宋"/>
      <w:sz w:val="32"/>
      <w:szCs w:val="32"/>
    </w:rPr>
  </w:style>
  <w:style w:type="character" w:customStyle="1" w:styleId="Char">
    <w:name w:val="公文正文 Char"/>
    <w:link w:val="af3"/>
    <w:qFormat/>
    <w:rPr>
      <w:rFonts w:ascii="仿宋" w:hAnsi="仿宋"/>
    </w:rPr>
  </w:style>
  <w:style w:type="character" w:customStyle="1" w:styleId="20">
    <w:name w:val="正文文本缩进 2 字符"/>
    <w:basedOn w:val="a1"/>
    <w:link w:val="2"/>
    <w:qFormat/>
    <w:rPr>
      <w:sz w:val="30"/>
      <w:szCs w:val="20"/>
    </w:rPr>
  </w:style>
  <w:style w:type="character" w:customStyle="1" w:styleId="a5">
    <w:name w:val="批注文字 字符"/>
    <w:basedOn w:val="a1"/>
    <w:link w:val="a4"/>
    <w:uiPriority w:val="99"/>
    <w:semiHidden/>
    <w:qFormat/>
    <w:rPr>
      <w:rFonts w:ascii="Times New Roman"/>
      <w:sz w:val="30"/>
      <w:szCs w:val="20"/>
    </w:rPr>
  </w:style>
  <w:style w:type="character" w:customStyle="1" w:styleId="af">
    <w:name w:val="批注主题 字符"/>
    <w:basedOn w:val="a5"/>
    <w:link w:val="ae"/>
    <w:uiPriority w:val="99"/>
    <w:semiHidden/>
    <w:qFormat/>
    <w:rPr>
      <w:rFonts w:ascii="Times New Roman"/>
      <w:b/>
      <w:bCs/>
      <w:sz w:val="30"/>
      <w:szCs w:val="20"/>
    </w:rPr>
  </w:style>
  <w:style w:type="table" w:customStyle="1" w:styleId="1">
    <w:name w:val="网格型1"/>
    <w:basedOn w:val="a2"/>
    <w:uiPriority w:val="59"/>
    <w:qFormat/>
    <w:rPr>
      <w:rFonts w:ascii="Calibri" w:hAnsi="Calibr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2"/>
    <w:uiPriority w:val="59"/>
    <w:qFormat/>
    <w:rPr>
      <w:rFonts w:ascii="Calibri" w:hAnsi="Calibr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2"/>
    <w:uiPriority w:val="59"/>
    <w:qFormat/>
    <w:rPr>
      <w:rFonts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jh-p">
    <w:name w:val="bjh-p"/>
    <w:basedOn w:val="a1"/>
    <w:qFormat/>
  </w:style>
  <w:style w:type="character" w:customStyle="1" w:styleId="font21">
    <w:name w:val="font21"/>
    <w:basedOn w:val="a1"/>
    <w:qFormat/>
    <w:rPr>
      <w:rFonts w:ascii="黑体" w:eastAsia="黑体" w:hAnsi="宋体" w:cs="黑体"/>
      <w:color w:val="000000"/>
      <w:sz w:val="22"/>
      <w:szCs w:val="22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8</Pages>
  <Words>497</Words>
  <Characters>2834</Characters>
  <Application>Microsoft Office Word</Application>
  <DocSecurity>0</DocSecurity>
  <Lines>23</Lines>
  <Paragraphs>6</Paragraphs>
  <ScaleCrop>false</ScaleCrop>
  <Company>您的公司名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2024-08-30T10:47:00Z</cp:lastPrinted>
  <dcterms:created xsi:type="dcterms:W3CDTF">2021-03-12T07:21:00Z</dcterms:created>
  <dcterms:modified xsi:type="dcterms:W3CDTF">2024-09-14T09:02:00Z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269642BEB563D6DD184DAC6616398748</vt:lpwstr>
  </property>
</Properties>
</file>